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10"/>
    <w:p>
      <w:pPr>
        <w:pStyle w:val="Heading1"/>
      </w:pPr>
      <w:r>
        <w:t xml:space="preserve">Homiletics Analysis: 2 Samuel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10 narrates Israel’s military confrontation with the Ammonites and their Aramean mercenary allies, precipitated by a profound diplomatic insult. David’s delegation of condolence to the newly crowned Hanun is received as espionage. Hanun publicly humiliates the Israelite envoys — shaving half their beards and cutting their garments at the hip — sending them back to David in a state of disgrace. Recognizing that they have made themselves odious to David, the Ammonites immediately mobilize for war, hiring massive Aramean mercenary forces. Joab, commanding Israel’s army, finds himself flanked on two sides — Ammonites at the city gate and Arameans in the open field. He divides the force, sends his brother Abishai against the Ammonites, and leads the elite troops himself against the Arameans, with a mutual-reinforcement agreement between them. Both Aramean and Ammonite forces flee before Israel. The Arameans regroup under Hadadezer, drawing additional Syrian forces across the Euphrates. David himself leads Israel’s army in a second engagement, defeating the Aramean confederacy decisively. The Aramean vassals make peace with Israel and become subject to David, unwilling to aid Ammon further.</w:t>
      </w:r>
    </w:p>
    <w:p>
      <w:pPr>
        <w:pStyle w:val="BodyText"/>
      </w:pPr>
      <w:r>
        <w:rPr>
          <w:b/>
          <w:bCs/>
        </w:rPr>
        <w:t xml:space="preserve">This Text — Intent</w:t>
      </w:r>
    </w:p>
    <w:p>
      <w:pPr>
        <w:pStyle w:val="BodyText"/>
      </w:pPr>
      <w:r>
        <w:t xml:space="preserve">God is seeking to demonstrate through this passage that His sovereign purposes cannot be derailed by human treachery, political miscalculation, or military coalition — and that the covenant commitments He has made (expressed here through David’s attempt at covenant loyalty) will ultimately be vindicated, not defeated. The passage is not merely military history. It is a display of how the LORD’s program advances even when goodwill is refused, when enemies multiply, and when the strategic situation appears overwhelming. God intends the reader to see that neither the malice of enemies nor the failure of human overtures can frustrate His covenant purposes — and to find in that reality both a call to covenant faithfulness and a ground for settled confidence.</w:t>
      </w:r>
    </w:p>
    <w:p>
      <w:r>
        <w:pict>
          <v:rect style="width:0;height:1.5pt" o:hralign="center" o:hrstd="t" o:hr="t"/>
        </w:pict>
      </w:r>
    </w:p>
    <w:p>
      <w:pPr>
        <w:pStyle w:val="FirstParagraph"/>
      </w:pPr>
      <w:r>
        <w:rPr>
          <w:b/>
          <w:bCs/>
        </w:rPr>
        <w:t xml:space="preserve">Subject Sentence:</w:t>
      </w:r>
      <w:r>
        <w:t xml:space="preserve"> </w:t>
      </w:r>
      <w:r>
        <w:t xml:space="preserve">David’s covenant loyalty is spurned and vindicated as the LORD advances His kingdom through faithful obedience.</w:t>
      </w:r>
    </w:p>
    <w:p>
      <w:r>
        <w:pict>
          <v:rect style="width:0;height:1.5pt" o:hralign="center" o:hrstd="t" o:hr="t"/>
        </w:pict>
      </w:r>
    </w:p>
    <w:p>
      <w:pPr>
        <w:pStyle w:val="FirstParagraph"/>
      </w:pPr>
      <w:r>
        <w:rPr>
          <w:b/>
          <w:bCs/>
        </w:rPr>
        <w:t xml:space="preserve">Primary Claim:</w:t>
      </w:r>
      <w:r>
        <w:t xml:space="preserve"> </w:t>
      </w:r>
      <w:r>
        <w:t xml:space="preserve">When covenant loyalty is met with contempt and the odds stack against God’s people, the LORD does not abandon His purposes — He advances them; the proper response is not retaliation born of wounded pride but faithful obedience that leaves vindication to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David’s Initial Embassy</w:t>
      </w:r>
    </w:p>
    <w:p>
      <w:pPr>
        <w:pStyle w:val="BodyText"/>
      </w:pPr>
      <w:r>
        <w:t xml:space="preserve">There is a genuine interpretive question about whether David’s sending of condolences to Hanun was politically naive, diplomatically sophisticated, or genuinely motivated by covenant kindness. Some readings — particularly those in older critical commentaries — treat this episode as Realpolitik dressed in the language of covenant loyalty (</w:t>
      </w:r>
      <w:r>
        <w:rPr>
          <w:i/>
          <w:iCs/>
        </w:rPr>
        <w:t xml:space="preserve">hesed</w:t>
      </w:r>
      <w:r>
        <w:t xml:space="preserve">): David was actually probing Ammonite strength under the guise of mourning. This reading must be refuted. The text explicitly grounds David’s action in</w:t>
      </w:r>
      <w:r>
        <w:t xml:space="preserve"> </w:t>
      </w:r>
      <w:r>
        <w:rPr>
          <w:i/>
          <w:iCs/>
        </w:rPr>
        <w:t xml:space="preserve">hesed</w:t>
      </w:r>
      <w:r>
        <w:t xml:space="preserve"> </w:t>
      </w:r>
      <w:r>
        <w:t xml:space="preserve">— the same Hebrew word used throughout Samuel for covenant faithfulness. David’s motivation is stated plainly:</w:t>
      </w:r>
      <w:r>
        <w:t xml:space="preserve"> </w:t>
      </w:r>
      <w:r>
        <w:t xml:space="preserve">“I will show kindness (</w:t>
      </w:r>
      <w:r>
        <w:rPr>
          <w:i/>
          <w:iCs/>
        </w:rPr>
        <w:t xml:space="preserve">hesed</w:t>
      </w:r>
      <w:r>
        <w:t xml:space="preserve">) to Hanun the son of Nahash, as his father showed kindness to me”</w:t>
      </w:r>
      <w:r>
        <w:t xml:space="preserve"> </w:t>
      </w:r>
      <w:r>
        <w:t xml:space="preserve">(v. 2). The text gives no signals of irony or political calculation at this point. To import cynical political motive here is to read against the text’s own explicit statement. Hanun’s advisors project political suspicion onto David — the text does not validate their projection.</w:t>
      </w:r>
    </w:p>
    <w:p>
      <w:pPr>
        <w:pStyle w:val="BodyText"/>
      </w:pPr>
      <w:r>
        <w:rPr>
          <w:b/>
          <w:bCs/>
        </w:rPr>
        <w:t xml:space="preserve">Joab’s Leadership and the Question of Self-Reliance</w:t>
      </w:r>
    </w:p>
    <w:p>
      <w:pPr>
        <w:pStyle w:val="BodyText"/>
      </w:pPr>
      <w:r>
        <w:t xml:space="preserve">A recurring homiletical pitfall is to treat Joab’s speech in verses 11–12 as a spiritualize military strategy:</w:t>
      </w:r>
      <w:r>
        <w:t xml:space="preserve"> </w:t>
      </w:r>
      <w:r>
        <w:t xml:space="preserve">“Be strong, and let us be courageous for our people… and may the LORD do what seems good to him.”</w:t>
      </w:r>
      <w:r>
        <w:t xml:space="preserve"> </w:t>
      </w:r>
      <w:r>
        <w:t xml:space="preserve">Some expositors (particularly in Wesleyan and Baptist traditions) fold this into a theology of human initiative combined with divine sovereignty — Joab as the model of the faithful soldier doing his part while leaving outcomes to God. This reading is not wrong but it can be qualified. The text presents Joab’s approach favorably, and his speech does reflect genuine theological trust. However, expositors should resist elevating Joab’s speech as the primary theological payload of the chapter; it is a component of the larger narrative about the LORD’s purposes advancing through David’s covenant program. The chapter’s culminating emphasis is David’s direct engagement in the second battle (v. 17) — not Joab’s tactical speech. The theological weight of vindication rests on David’s obedience, not merely Joab’s military competence.</w:t>
      </w:r>
    </w:p>
    <w:p>
      <w:pPr>
        <w:pStyle w:val="BodyText"/>
      </w:pPr>
      <w:r>
        <w:rPr>
          <w:b/>
          <w:bCs/>
        </w:rPr>
        <w:t xml:space="preserve">Dispensational Reading — David as Type</w:t>
      </w:r>
    </w:p>
    <w:p>
      <w:pPr>
        <w:pStyle w:val="BodyText"/>
      </w:pPr>
      <w:r>
        <w:t xml:space="preserve">Dispensational interpreters often treat this passage strictly as historical narrative with no typological or canonical freight — a record of Davidic military expansion, period. This reading can be acknowledged as a helpful corrective against allegorizing the text (treating every Ammonite as a particular species of sin), but it must be qualified at the level of canonical theology. In the broader Davidic covenant context (2 Samuel 7), David’s kingdom is the vehicle of the LORD’s promise; events that advance or threaten that kingdom carry theological freight beyond mere history. David here is functioning as the covenant mediator — not in a mechanical typological sense but in the sense that his kingdom’s advancement is the advancement of God’s redemptive program.</w:t>
      </w:r>
    </w:p>
    <w:p>
      <w:pPr>
        <w:pStyle w:val="BodyText"/>
      </w:pPr>
      <w:r>
        <w:rPr>
          <w:b/>
          <w:bCs/>
        </w:rPr>
        <w:t xml:space="preserve">Reformed Reading</w:t>
      </w:r>
    </w:p>
    <w:p>
      <w:pPr>
        <w:pStyle w:val="BodyText"/>
      </w:pPr>
      <w:r>
        <w:t xml:space="preserve">The Reformed reading treats this passage as part of the unfolding Davidic covenant narrative: David’s covenant loyalty (</w:t>
      </w:r>
      <w:r>
        <w:rPr>
          <w:i/>
          <w:iCs/>
        </w:rPr>
        <w:t xml:space="preserve">hesed</w:t>
      </w:r>
      <w:r>
        <w:t xml:space="preserve">) reflects God’s own character; its rejection by the nations is met not with divine abandonment but with divine vindication. The chapter demonstrates that God’s kingdom advances through the faithful obedience of His appointed king even when human hostility escalates and coalitions form against it. This reading best accounts for the passage’s structural arc — from covenant overture (v. 2) through military crisis (vv. 6–14) to decisive vindication (vv. 15–19) — and its placement within the larger Davidic covenant section of 2 Samuel.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7:8–16</w:t>
      </w:r>
      <w:r>
        <w:t xml:space="preserve"> </w:t>
      </w:r>
      <w:r>
        <w:t xml:space="preserve">— The Davidic covenant itself: the LORD promised to establish David’s kingdom and throne; chapter 10 narrates what that promise looks like under military pressure and enemy opposition — the kingdom does not collapse.</w:t>
      </w:r>
    </w:p>
    <w:p>
      <w:pPr>
        <w:numPr>
          <w:ilvl w:val="0"/>
          <w:numId w:val="1001"/>
        </w:numPr>
      </w:pPr>
      <w:r>
        <w:rPr>
          <w:b/>
          <w:bCs/>
        </w:rPr>
        <w:t xml:space="preserve">Psalm 2:1–6</w:t>
      </w:r>
      <w:r>
        <w:t xml:space="preserve"> </w:t>
      </w:r>
      <w:r>
        <w:t xml:space="preserve">—</w:t>
      </w:r>
      <w:r>
        <w:t xml:space="preserve"> </w:t>
      </w:r>
      <w:r>
        <w:t xml:space="preserve">“Why do the nations rage…? He who sits in the heavens laughs.”</w:t>
      </w:r>
      <w:r>
        <w:t xml:space="preserve"> </w:t>
      </w:r>
      <w:r>
        <w:t xml:space="preserve">The Aramean-Ammonite coalition against David’s anointed king is the same pattern Psalm 2 depicts: nations conspire against the LORD’s anointed, and the LORD’s purposes advance regardless. The psalm gives the theological soundtrack to the historical narrative.</w:t>
      </w:r>
    </w:p>
    <w:p>
      <w:pPr>
        <w:numPr>
          <w:ilvl w:val="0"/>
          <w:numId w:val="1001"/>
        </w:numPr>
      </w:pPr>
      <w:r>
        <w:rPr>
          <w:b/>
          <w:bCs/>
        </w:rPr>
        <w:t xml:space="preserve">Micah 6:8</w:t>
      </w:r>
      <w:r>
        <w:t xml:space="preserve"> </w:t>
      </w:r>
      <w:r>
        <w:t xml:space="preserve">—</w:t>
      </w:r>
      <w:r>
        <w:t xml:space="preserve"> </w:t>
      </w:r>
      <w:r>
        <w:t xml:space="preserve">“Do justice, love kindness (</w:t>
      </w:r>
      <w:r>
        <w:rPr>
          <w:i/>
          <w:iCs/>
        </w:rPr>
        <w:t xml:space="preserve">hesed</w:t>
      </w:r>
      <w:r>
        <w:t xml:space="preserve">)…”</w:t>
      </w:r>
      <w:r>
        <w:t xml:space="preserve"> </w:t>
      </w:r>
      <w:r>
        <w:t xml:space="preserve">David’s initial embassy is a concrete narrative display of</w:t>
      </w:r>
      <w:r>
        <w:t xml:space="preserve"> </w:t>
      </w:r>
      <w:r>
        <w:rPr>
          <w:i/>
          <w:iCs/>
        </w:rPr>
        <w:t xml:space="preserve">hesed</w:t>
      </w:r>
      <w:r>
        <w:t xml:space="preserve"> </w:t>
      </w:r>
      <w:r>
        <w:t xml:space="preserve">— the quality God requires and Himself embodies. Its rejection by Hanun illustrates the cost of covenant faithfulness in a world hostile to it.</w:t>
      </w:r>
    </w:p>
    <w:p>
      <w:pPr>
        <w:numPr>
          <w:ilvl w:val="0"/>
          <w:numId w:val="1001"/>
        </w:numPr>
      </w:pPr>
      <w:r>
        <w:rPr>
          <w:b/>
          <w:bCs/>
        </w:rPr>
        <w:t xml:space="preserve">Romans 12:17–21</w:t>
      </w:r>
      <w:r>
        <w:t xml:space="preserve"> </w:t>
      </w:r>
      <w:r>
        <w:t xml:space="preserve">—</w:t>
      </w:r>
      <w:r>
        <w:t xml:space="preserve"> </w:t>
      </w:r>
      <w:r>
        <w:t xml:space="preserve">“Repay no one evil for evil… leave it to the wrath of God.”</w:t>
      </w:r>
      <w:r>
        <w:t xml:space="preserve"> </w:t>
      </w:r>
      <w:r>
        <w:t xml:space="preserve">David’s response to the humiliation of his servants is not immediate personal retaliation but ordered, measured, covenant-faithful action — the narrative anticipates the New Testament pattern of trusting God to vindicate what human malice has attacked.</w:t>
      </w:r>
    </w:p>
    <w:p>
      <w:pPr>
        <w:numPr>
          <w:ilvl w:val="0"/>
          <w:numId w:val="1001"/>
        </w:numPr>
      </w:pPr>
      <w:r>
        <w:rPr>
          <w:b/>
          <w:bCs/>
        </w:rPr>
        <w:t xml:space="preserve">Psalm 118:10–12</w:t>
      </w:r>
      <w:r>
        <w:t xml:space="preserve"> </w:t>
      </w:r>
      <w:r>
        <w:t xml:space="preserve">—</w:t>
      </w:r>
      <w:r>
        <w:t xml:space="preserve"> </w:t>
      </w:r>
      <w:r>
        <w:t xml:space="preserve">“All nations surrounded me… in the name of the LORD I cut them off.”</w:t>
      </w:r>
      <w:r>
        <w:t xml:space="preserve"> </w:t>
      </w:r>
      <w:r>
        <w:t xml:space="preserve">The structure of Psalm 118 — surrounded by enemies on every side, trusting the LORD’s name, vindicated — maps directly onto the narrative pattern of 2 Samuel 10.</w:t>
      </w:r>
    </w:p>
    <w:p>
      <w:r>
        <w:pict>
          <v:rect style="width:0;height:1.5pt" o:hralign="center" o:hrstd="t" o:hr="t"/>
        </w:pict>
      </w:r>
    </w:p>
    <w:p>
      <w:pPr>
        <w:pStyle w:val="FirstParagraph"/>
      </w:pPr>
      <w:r>
        <w:rPr>
          <w:b/>
          <w:bCs/>
        </w:rPr>
        <w:t xml:space="preserve">Aim:</w:t>
      </w:r>
      <w:r>
        <w:t xml:space="preserve"> </w:t>
      </w:r>
      <w:r>
        <w:t xml:space="preserve">To expose the sufficiency of covenant faithfulness and divine vindication as the governing framework for how God’s people respond when goodwill is refused and hostility escalates — and to dislodge the instinct to retaliate, strategize around God, or despair when the odds compound.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Nahash of Ammon dies; David sends envoys to comfort Hanun, grounding the action in</w:t>
            </w:r>
            <w:r>
              <w:t xml:space="preserve"> </w:t>
            </w:r>
            <w:r>
              <w:rPr>
                <w:i/>
                <w:iCs/>
              </w:rPr>
              <w:t xml:space="preserve">hesed</w:t>
            </w:r>
            <w:r>
              <w:t xml:space="preserve"> </w:t>
            </w:r>
            <w:r>
              <w:t xml:space="preserve">— kindness Nahash showed David</w:t>
            </w:r>
          </w:p>
        </w:tc>
        <w:tc>
          <w:tcPr/>
          <w:p>
            <w:pPr>
              <w:pStyle w:val="Compact"/>
            </w:pPr>
            <w:r>
              <w:rPr>
                <w:i/>
                <w:iCs/>
              </w:rPr>
              <w:t xml:space="preserve">Hesed</w:t>
            </w:r>
            <w:r>
              <w:t xml:space="preserve"> </w:t>
            </w:r>
            <w:r>
              <w:t xml:space="preserve">(covenant loyalty/kindness) is the explicit motivation; this is theologically weighted language</w:t>
            </w:r>
          </w:p>
        </w:tc>
      </w:tr>
      <w:tr>
        <w:tc>
          <w:tcPr/>
          <w:p>
            <w:pPr>
              <w:pStyle w:val="Compact"/>
            </w:pPr>
            <w:r>
              <w:t xml:space="preserve">3</w:t>
            </w:r>
          </w:p>
        </w:tc>
        <w:tc>
          <w:tcPr/>
          <w:p>
            <w:pPr>
              <w:pStyle w:val="Compact"/>
            </w:pPr>
            <w:r>
              <w:t xml:space="preserve">Ammonite commanders advise Hanun that David’s envoys are spies sent to survey the city for conquest</w:t>
            </w:r>
          </w:p>
        </w:tc>
        <w:tc>
          <w:tcPr/>
          <w:p>
            <w:pPr>
              <w:pStyle w:val="Compact"/>
            </w:pPr>
            <w:r>
              <w:t xml:space="preserve">The advisors project political cynicism onto a covenant act; the text does not validate their reading</w:t>
            </w:r>
          </w:p>
        </w:tc>
      </w:tr>
      <w:tr>
        <w:tc>
          <w:tcPr/>
          <w:p>
            <w:pPr>
              <w:pStyle w:val="Compact"/>
            </w:pPr>
            <w:r>
              <w:t xml:space="preserve">4</w:t>
            </w:r>
          </w:p>
        </w:tc>
        <w:tc>
          <w:tcPr/>
          <w:p>
            <w:pPr>
              <w:pStyle w:val="Compact"/>
            </w:pPr>
            <w:r>
              <w:t xml:space="preserve">Hanun seizes David’s servants, shaves half their beards, cuts their garments at the hip, and sends them away</w:t>
            </w:r>
          </w:p>
        </w:tc>
        <w:tc>
          <w:tcPr/>
          <w:p>
            <w:pPr>
              <w:pStyle w:val="Compact"/>
            </w:pPr>
            <w:r>
              <w:t xml:space="preserve">Profound public humiliation — beard and garment were markers of dignity and identity in the Ancient Near East</w:t>
            </w:r>
          </w:p>
        </w:tc>
      </w:tr>
      <w:tr>
        <w:tc>
          <w:tcPr/>
          <w:p>
            <w:pPr>
              <w:pStyle w:val="Compact"/>
            </w:pPr>
            <w:r>
              <w:t xml:space="preserve">5</w:t>
            </w:r>
          </w:p>
        </w:tc>
        <w:tc>
          <w:tcPr/>
          <w:p>
            <w:pPr>
              <w:pStyle w:val="Compact"/>
            </w:pPr>
            <w:r>
              <w:t xml:space="preserve">David intercepts the returning envoys at Jericho, instructs them to wait there until their beards have grown</w:t>
            </w:r>
          </w:p>
        </w:tc>
        <w:tc>
          <w:tcPr/>
          <w:p>
            <w:pPr>
              <w:pStyle w:val="Compact"/>
            </w:pPr>
            <w:r>
              <w:t xml:space="preserve">David’s response is measured — protecting dignity without immediate escalation</w:t>
            </w:r>
          </w:p>
        </w:tc>
      </w:tr>
      <w:tr>
        <w:tc>
          <w:tcPr/>
          <w:p>
            <w:pPr>
              <w:pStyle w:val="Compact"/>
            </w:pPr>
            <w:r>
              <w:t xml:space="preserve">6</w:t>
            </w:r>
          </w:p>
        </w:tc>
        <w:tc>
          <w:tcPr/>
          <w:p>
            <w:pPr>
              <w:pStyle w:val="Compact"/>
            </w:pPr>
            <w:r>
              <w:t xml:space="preserve">Ammonites recognize they have become odious to David; they hire Aramean forces (Beth-rehob, Zobah, the king of Maacah, Ish-tob) — totaling 33,000 men</w:t>
            </w:r>
          </w:p>
        </w:tc>
        <w:tc>
          <w:tcPr/>
          <w:p>
            <w:pPr>
              <w:pStyle w:val="Compact"/>
            </w:pPr>
            <w:r>
              <w:t xml:space="preserve">The Ammonites escalate dramatically; their guilty conscience drives military mobilization</w:t>
            </w:r>
          </w:p>
        </w:tc>
      </w:tr>
      <w:tr>
        <w:tc>
          <w:tcPr/>
          <w:p>
            <w:pPr>
              <w:pStyle w:val="Compact"/>
            </w:pPr>
            <w:r>
              <w:t xml:space="preserve">7</w:t>
            </w:r>
          </w:p>
        </w:tc>
        <w:tc>
          <w:tcPr/>
          <w:p>
            <w:pPr>
              <w:pStyle w:val="Compact"/>
            </w:pPr>
            <w:r>
              <w:t xml:space="preserve">David hears and sends Joab with the whole army of mighty men</w:t>
            </w:r>
          </w:p>
        </w:tc>
        <w:tc>
          <w:tcPr/>
          <w:p>
            <w:pPr>
              <w:pStyle w:val="Compact"/>
            </w:pPr>
            <w:r>
              <w:t xml:space="preserve">David’s response is ordered and proportionate; he deploys his full professional force</w:t>
            </w:r>
          </w:p>
        </w:tc>
      </w:tr>
      <w:tr>
        <w:tc>
          <w:tcPr/>
          <w:p>
            <w:pPr>
              <w:pStyle w:val="Compact"/>
            </w:pPr>
            <w:r>
              <w:t xml:space="preserve">8</w:t>
            </w:r>
          </w:p>
        </w:tc>
        <w:tc>
          <w:tcPr/>
          <w:p>
            <w:pPr>
              <w:pStyle w:val="Compact"/>
            </w:pPr>
            <w:r>
              <w:t xml:space="preserve">Ammonites deploy at the city gate; Aramean allies deploy in the open field</w:t>
            </w:r>
          </w:p>
        </w:tc>
        <w:tc>
          <w:tcPr/>
          <w:p>
            <w:pPr>
              <w:pStyle w:val="Compact"/>
            </w:pPr>
            <w:r>
              <w:t xml:space="preserve">Classic double-flanking position — Joab faces a strategically difficult two-front scenario</w:t>
            </w:r>
          </w:p>
        </w:tc>
      </w:tr>
      <w:tr>
        <w:tc>
          <w:tcPr/>
          <w:p>
            <w:pPr>
              <w:pStyle w:val="Compact"/>
            </w:pPr>
            <w:r>
              <w:t xml:space="preserve">9–10</w:t>
            </w:r>
          </w:p>
        </w:tc>
        <w:tc>
          <w:tcPr/>
          <w:p>
            <w:pPr>
              <w:pStyle w:val="Compact"/>
            </w:pPr>
            <w:r>
              <w:t xml:space="preserve">Joab sees the threat from front and rear; divides the force — takes the elite against Arameans, gives Abishai the remainder for the Ammonites</w:t>
            </w:r>
          </w:p>
        </w:tc>
        <w:tc>
          <w:tcPr/>
          <w:p>
            <w:pPr>
              <w:pStyle w:val="Compact"/>
            </w:pPr>
            <w:r>
              <w:t xml:space="preserve">Sound military leadership; the mutual-reinforcement agreement (v. 11) reflects coordinated command</w:t>
            </w:r>
          </w:p>
        </w:tc>
      </w:tr>
      <w:tr>
        <w:tc>
          <w:tcPr/>
          <w:p>
            <w:pPr>
              <w:pStyle w:val="Compact"/>
            </w:pPr>
            <w:r>
              <w:t xml:space="preserve">11–12</w:t>
            </w:r>
          </w:p>
        </w:tc>
        <w:tc>
          <w:tcPr/>
          <w:p>
            <w:pPr>
              <w:pStyle w:val="Compact"/>
            </w:pPr>
            <w:r>
              <w:t xml:space="preserve">Joab’s speech: mutual reinforcement agreement;</w:t>
            </w:r>
            <w:r>
              <w:t xml:space="preserve"> </w:t>
            </w:r>
            <w:r>
              <w:t xml:space="preserve">“be courageous for our people and for the cities of our God; and may the LORD do what seems good to him”</w:t>
            </w:r>
          </w:p>
        </w:tc>
        <w:tc>
          <w:tcPr/>
          <w:p>
            <w:pPr>
              <w:pStyle w:val="Compact"/>
            </w:pPr>
            <w:r>
              <w:t xml:space="preserve">Theologically significant: Joab holds human courage and divine sovereignty in proper tension</w:t>
            </w:r>
          </w:p>
        </w:tc>
      </w:tr>
      <w:tr>
        <w:tc>
          <w:tcPr/>
          <w:p>
            <w:pPr>
              <w:pStyle w:val="Compact"/>
            </w:pPr>
            <w:r>
              <w:t xml:space="preserve">13–14</w:t>
            </w:r>
          </w:p>
        </w:tc>
        <w:tc>
          <w:tcPr/>
          <w:p>
            <w:pPr>
              <w:pStyle w:val="Compact"/>
            </w:pPr>
            <w:r>
              <w:t xml:space="preserve">Joab advances against Arameans — they flee; Ammonites flee before Abishai into the city; Joab returns to Jerusalem</w:t>
            </w:r>
          </w:p>
        </w:tc>
        <w:tc>
          <w:tcPr/>
          <w:p>
            <w:pPr>
              <w:pStyle w:val="Compact"/>
            </w:pPr>
            <w:r>
              <w:t xml:space="preserve">First engagement: complete victory; note that the text does not dramatize the battles — emphasis is structural, not heroic</w:t>
            </w:r>
          </w:p>
        </w:tc>
      </w:tr>
      <w:tr>
        <w:tc>
          <w:tcPr/>
          <w:p>
            <w:pPr>
              <w:pStyle w:val="Compact"/>
            </w:pPr>
            <w:r>
              <w:t xml:space="preserve">15–16</w:t>
            </w:r>
          </w:p>
        </w:tc>
        <w:tc>
          <w:tcPr/>
          <w:p>
            <w:pPr>
              <w:pStyle w:val="Compact"/>
            </w:pPr>
            <w:r>
              <w:t xml:space="preserve">Arameans regroup; Hadadezer summons additional Aramean forces from beyond the Euphrates under Shobach</w:t>
            </w:r>
          </w:p>
        </w:tc>
        <w:tc>
          <w:tcPr/>
          <w:p>
            <w:pPr>
              <w:pStyle w:val="Compact"/>
            </w:pPr>
            <w:r>
              <w:t xml:space="preserve">Enemy coalition escalates again; the pattern of opposition deepening repeats</w:t>
            </w:r>
          </w:p>
        </w:tc>
      </w:tr>
      <w:tr>
        <w:tc>
          <w:tcPr/>
          <w:p>
            <w:pPr>
              <w:pStyle w:val="Compact"/>
            </w:pPr>
            <w:r>
              <w:t xml:space="preserve">17</w:t>
            </w:r>
          </w:p>
        </w:tc>
        <w:tc>
          <w:tcPr/>
          <w:p>
            <w:pPr>
              <w:pStyle w:val="Compact"/>
            </w:pPr>
            <w:r>
              <w:t xml:space="preserve">David is told; he assembles all Israel, crosses the Jordan, comes to Helam</w:t>
            </w:r>
          </w:p>
        </w:tc>
        <w:tc>
          <w:tcPr/>
          <w:p>
            <w:pPr>
              <w:pStyle w:val="Compact"/>
            </w:pPr>
            <w:r>
              <w:t xml:space="preserve">David personally takes command of the second engagement — significant shift from Joab’s leadership in the first</w:t>
            </w:r>
          </w:p>
        </w:tc>
      </w:tr>
      <w:tr>
        <w:tc>
          <w:tcPr/>
          <w:p>
            <w:pPr>
              <w:pStyle w:val="Compact"/>
            </w:pPr>
            <w:r>
              <w:t xml:space="preserve">18</w:t>
            </w:r>
          </w:p>
        </w:tc>
        <w:tc>
          <w:tcPr/>
          <w:p>
            <w:pPr>
              <w:pStyle w:val="Compact"/>
            </w:pPr>
            <w:r>
              <w:t xml:space="preserve">Israel defeats the Arameans decisively — 700 charioteers, 40,000 horsemen; Shobach the commander dies in the battle</w:t>
            </w:r>
          </w:p>
        </w:tc>
        <w:tc>
          <w:tcPr/>
          <w:p>
            <w:pPr>
              <w:pStyle w:val="Compact"/>
            </w:pPr>
            <w:r>
              <w:t xml:space="preserve">Decisive and overwhelming; the numbers signal the totality of the victory</w:t>
            </w:r>
          </w:p>
        </w:tc>
      </w:tr>
      <w:tr>
        <w:tc>
          <w:tcPr/>
          <w:p>
            <w:pPr>
              <w:pStyle w:val="Compact"/>
            </w:pPr>
            <w:r>
              <w:t xml:space="preserve">19</w:t>
            </w:r>
          </w:p>
        </w:tc>
        <w:tc>
          <w:tcPr/>
          <w:p>
            <w:pPr>
              <w:pStyle w:val="Compact"/>
            </w:pPr>
            <w:r>
              <w:t xml:space="preserve">All the kings who were servants of Hadadezer see they are defeated before Israel; they make peace with Israel and become subject to David; Arameans no longer willing to help Ammon</w:t>
            </w:r>
          </w:p>
        </w:tc>
        <w:tc>
          <w:tcPr/>
          <w:p>
            <w:pPr>
              <w:pStyle w:val="Compact"/>
            </w:pPr>
            <w:r>
              <w:t xml:space="preserve">The Aramean confederacy collapses entirely; David’s kingdom is extended — the covenant promise advances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Covenant Kindness Offered and Despised</w:t>
            </w:r>
          </w:p>
        </w:tc>
      </w:tr>
      <w:tr>
        <w:tc>
          <w:tcPr/>
          <w:p>
            <w:pPr>
              <w:pStyle w:val="Compact"/>
            </w:pPr>
            <w:r>
              <w:t xml:space="preserve">2</w:t>
            </w:r>
          </w:p>
        </w:tc>
        <w:tc>
          <w:tcPr/>
          <w:p>
            <w:pPr>
              <w:pStyle w:val="Compact"/>
            </w:pPr>
            <w:r>
              <w:t xml:space="preserve">6–8</w:t>
            </w:r>
          </w:p>
        </w:tc>
        <w:tc>
          <w:tcPr/>
          <w:p>
            <w:pPr>
              <w:pStyle w:val="Compact"/>
            </w:pPr>
            <w:r>
              <w:t xml:space="preserve">Guilty Conscience and Military Escalation</w:t>
            </w:r>
          </w:p>
        </w:tc>
      </w:tr>
      <w:tr>
        <w:tc>
          <w:tcPr/>
          <w:p>
            <w:pPr>
              <w:pStyle w:val="Compact"/>
            </w:pPr>
            <w:r>
              <w:t xml:space="preserve">3</w:t>
            </w:r>
          </w:p>
        </w:tc>
        <w:tc>
          <w:tcPr/>
          <w:p>
            <w:pPr>
              <w:pStyle w:val="Compact"/>
            </w:pPr>
            <w:r>
              <w:t xml:space="preserve">9–14</w:t>
            </w:r>
          </w:p>
        </w:tc>
        <w:tc>
          <w:tcPr/>
          <w:p>
            <w:pPr>
              <w:pStyle w:val="Compact"/>
            </w:pPr>
            <w:r>
              <w:t xml:space="preserve">Faithful Command Under Pressure — First Engagement</w:t>
            </w:r>
          </w:p>
        </w:tc>
      </w:tr>
      <w:tr>
        <w:tc>
          <w:tcPr/>
          <w:p>
            <w:pPr>
              <w:pStyle w:val="Compact"/>
            </w:pPr>
            <w:r>
              <w:t xml:space="preserve">4</w:t>
            </w:r>
          </w:p>
        </w:tc>
        <w:tc>
          <w:tcPr/>
          <w:p>
            <w:pPr>
              <w:pStyle w:val="Compact"/>
            </w:pPr>
            <w:r>
              <w:t xml:space="preserve">15–17</w:t>
            </w:r>
          </w:p>
        </w:tc>
        <w:tc>
          <w:tcPr/>
          <w:p>
            <w:pPr>
              <w:pStyle w:val="Compact"/>
            </w:pPr>
            <w:r>
              <w:t xml:space="preserve">The Coalition Regroups — David Takes the Field</w:t>
            </w:r>
          </w:p>
        </w:tc>
      </w:tr>
      <w:tr>
        <w:tc>
          <w:tcPr/>
          <w:p>
            <w:pPr>
              <w:pStyle w:val="Compact"/>
            </w:pPr>
            <w:r>
              <w:t xml:space="preserve">5</w:t>
            </w:r>
          </w:p>
        </w:tc>
        <w:tc>
          <w:tcPr/>
          <w:p>
            <w:pPr>
              <w:pStyle w:val="Compact"/>
            </w:pPr>
            <w:r>
              <w:t xml:space="preserve">18–19</w:t>
            </w:r>
          </w:p>
        </w:tc>
        <w:tc>
          <w:tcPr/>
          <w:p>
            <w:pPr>
              <w:pStyle w:val="Compact"/>
            </w:pPr>
            <w:r>
              <w:t xml:space="preserve">Decisive Vindication — The Kingdom Advances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covenant loyalty is spurned and vindicated as the LORD advances His kingdom through faithful obedience.</w:t>
      </w:r>
    </w:p>
    <w:p>
      <w:pPr>
        <w:pStyle w:val="BodyText"/>
      </w:pPr>
      <w:r>
        <w:rPr>
          <w:b/>
          <w:bCs/>
        </w:rPr>
        <w:t xml:space="preserve">Primary Claim:</w:t>
      </w:r>
      <w:r>
        <w:t xml:space="preserve"> </w:t>
      </w:r>
      <w:r>
        <w:t xml:space="preserve">When covenant loyalty is met with contempt and the odds stack against God’s people, the LORD does not abandon His purposes — He advances them; the proper response is not retaliation born of wounded pride but faithful obedience that leaves vindication to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hostility to your faithfulness means.</w:t>
      </w:r>
      <w:r>
        <w:t xml:space="preserve"> </w:t>
      </w:r>
      <w:r>
        <w:t xml:space="preserve">When genuine kindness is met with suspicion, contempt, or attack, the instinct is to conclude either that you were wrong to offer it or that God has abandoned the situation. This passage refuses both conclusions. David’s</w:t>
      </w:r>
      <w:r>
        <w:t xml:space="preserve"> </w:t>
      </w:r>
      <w:r>
        <w:rPr>
          <w:i/>
          <w:iCs/>
        </w:rPr>
        <w:t xml:space="preserve">hesed</w:t>
      </w:r>
      <w:r>
        <w:t xml:space="preserve"> </w:t>
      </w:r>
      <w:r>
        <w:t xml:space="preserve">was genuine; its rejection said nothing about whether it was right to offer it and nothing about whether God’s purposes would advance. The Ammonites’ guilty conscience — not David’s miscalculation — drove the escalation. Stop treating hostility toward your faithfulness as evidence that faithfulness was wrong. It is often evidence that it was exactly right.</w:t>
      </w:r>
    </w:p>
    <w:p>
      <w:pPr>
        <w:pStyle w:val="BodyText"/>
      </w:pPr>
      <w:r>
        <w:rPr>
          <w:b/>
          <w:bCs/>
        </w:rPr>
        <w:t xml:space="preserve">2. (Will/Behavior) — Refuse the path of preemptive retaliation or strategic self-protection when goodwill is refused.</w:t>
      </w:r>
      <w:r>
        <w:t xml:space="preserve"> </w:t>
      </w:r>
      <w:r>
        <w:t xml:space="preserve">David did not respond to the humiliation of his envoys by immediately retaliating in kind or by writing off the Ammonites and moving on. He protected his servants’ dignity (v. 5), waited, and responded only when the Ammonites escalated. His response was proportionate, ordered, and covenant-governed — not wounded-pride driven. When a relationship, a ministry effort, or an act of genuine kindness is thrown back at you, the measured, covenant-governed response — not the retaliatory or the self-protective one — is what faithful obedience looks like.</w:t>
      </w:r>
    </w:p>
    <w:p>
      <w:pPr>
        <w:pStyle w:val="BodyText"/>
      </w:pPr>
      <w:r>
        <w:rPr>
          <w:b/>
          <w:bCs/>
        </w:rPr>
        <w:t xml:space="preserve">3. (Affections/Worship) — Learn to hold human courage and divine sovereignty together as Joab did, and let that posture shape your confidence.</w:t>
      </w:r>
      <w:r>
        <w:t xml:space="preserve"> </w:t>
      </w:r>
      <w:r>
        <w:t xml:space="preserve">Joab’s speech in verses 11–12 is easy to pass over, but it is a model of sanctified realism:</w:t>
      </w:r>
      <w:r>
        <w:t xml:space="preserve"> </w:t>
      </w:r>
      <w:r>
        <w:t xml:space="preserve">“Be strong… be courageous… and may the LORD do what seems good to him.”</w:t>
      </w:r>
      <w:r>
        <w:t xml:space="preserve"> </w:t>
      </w:r>
      <w:r>
        <w:t xml:space="preserve">He does not spiritualize away the danger — he deploys his troops with skill and discipline. He does not claim the outcome — he commits it to God. The Christian life constantly requires this held tension: full, disciplined engagement with hard realities combined with genuine, unforced release of outcomes to God’s sovereign will. Train your affections to want God’s</w:t>
      </w:r>
      <w:r>
        <w:t xml:space="preserve"> </w:t>
      </w:r>
      <w:r>
        <w:t xml:space="preserve">“seeming good”</w:t>
      </w:r>
      <w:r>
        <w:t xml:space="preserve"> </w:t>
      </w:r>
      <w:r>
        <w:t xml:space="preserve">more than your preferred outcome.</w:t>
      </w:r>
    </w:p>
    <w:p>
      <w:pPr>
        <w:pStyle w:val="BodyText"/>
      </w:pPr>
      <w:r>
        <w:rPr>
          <w:b/>
          <w:bCs/>
        </w:rPr>
        <w:t xml:space="preserve">4. (Mind/Belief) — Identify the idol beneath the Ammonites’ miscalculation and recognize it in yourself.</w:t>
      </w:r>
      <w:r>
        <w:t xml:space="preserve"> </w:t>
      </w:r>
      <w:r>
        <w:t xml:space="preserve">Hanun’s advisors looked at David’s covenant kindness and saw political threat because that is the only category they had. Their world was a world of pure power calculation — no one does anything for nothing. When you are unable to receive genuine grace, genuine kindness, or genuine forgiveness without suspecting an angle, you are operating in Hanun’s advisors’ world. The idol of self-sufficiency and the idol of cynicism work together: you cannot receive what you will not trust. Ask where you are refusing God’s covenant overtures because you cannot believe they are what they appear to be.</w:t>
      </w:r>
    </w:p>
    <w:p>
      <w:pPr>
        <w:pStyle w:val="BodyText"/>
      </w:pPr>
      <w:r>
        <w:rPr>
          <w:b/>
          <w:bCs/>
        </w:rPr>
        <w:t xml:space="preserve">5. (Affections/Worship) — Find in the chapter’s arc — from despised overture to decisive vindication — a pattern that runs to Christ, and let it reshape how you hold your own unanswered acts of faithfulness.</w:t>
      </w:r>
      <w:r>
        <w:t xml:space="preserve"> </w:t>
      </w:r>
      <w:r>
        <w:t xml:space="preserve">The pattern in 2 Samuel 10 — covenant love extended, rejected, apparently vulnerable, ultimately vindicated — is not unique to David. It is the pattern of the Greater David: Christ’s covenant love extended to a hostile world, rejected, crucified, and vindicated in resurrection. The chapter invites you to see your own refused acts of faithfulness not as dead ends but as entries in a longer story that God is writing toward vindication. Your faithfulness that went unrecognized, your kindness that was weaponized against you — these are not lost. They are held by the same God who vindicated David’s</w:t>
      </w:r>
      <w:r>
        <w:t xml:space="preserve"> </w:t>
      </w:r>
      <w:r>
        <w:rPr>
          <w:i/>
          <w:iCs/>
        </w:rPr>
        <w:t xml:space="preserve">hesed</w:t>
      </w:r>
      <w:r>
        <w:t xml:space="preserve"> </w:t>
      </w:r>
      <w:r>
        <w:t xml:space="preserve">and who raised His Son from the dead. Worship the God who does not abandon what He has set in motion.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Samuel 10 displays the character of God as the One who advances His covenant purposes through the faithful obedience of His appointed king even when human hostility compounds and military odds multiply. God’s sovereignty here is not passive — it is active through means: through David’s covenant loyalty (</w:t>
      </w:r>
      <w:r>
        <w:rPr>
          <w:i/>
          <w:iCs/>
        </w:rPr>
        <w:t xml:space="preserve">hesed</w:t>
      </w:r>
      <w:r>
        <w:t xml:space="preserve">), through Joab’s disciplined command, through David’s personal engagement in the second battle. The passage also displays the character of</w:t>
      </w:r>
      <w:r>
        <w:t xml:space="preserve"> </w:t>
      </w:r>
      <w:r>
        <w:rPr>
          <w:i/>
          <w:iCs/>
        </w:rPr>
        <w:t xml:space="preserve">hesed</w:t>
      </w:r>
      <w:r>
        <w:t xml:space="preserve"> </w:t>
      </w:r>
      <w:r>
        <w:t xml:space="preserve">itself — covenant faithfulness that initiates, persists, and ultimately prevails even when refused. This is not merely a human virtue; it is a reflection of the character of the covenant LORD who Himself does not abandon His redemptive purposes when His people fail or when nations rage. The chapter insists that there is no coalition capable of frustrating what the LORD has purposed to do through His anointed king.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Within the Davidic covenant structure of 2 Samuel, chapter 10 functions as a narrative demonstration that the promise of 2 Samuel 7 —</w:t>
      </w:r>
      <w:r>
        <w:t xml:space="preserve"> </w:t>
      </w:r>
      <w:r>
        <w:t xml:space="preserve">“your kingdom shall be established forever”</w:t>
      </w:r>
      <w:r>
        <w:t xml:space="preserve"> </w:t>
      </w:r>
      <w:r>
        <w:t xml:space="preserve">— is not contingent on favorable geopolitical conditions. God’s kingdom advances through the faithful obedience of His covenant king in the face of opposition, not through the absence of opposition. Reformed theology insists that God’s sovereignty is not merely a comfort after the fact but the actual engine driving historical events — including military campaigns, diplomatic failures, and enemy escalations — toward His appointed ends. The chapter also grounds covenant faithfulness (</w:t>
      </w:r>
      <w:r>
        <w:rPr>
          <w:i/>
          <w:iCs/>
        </w:rPr>
        <w:t xml:space="preserve">hesed</w:t>
      </w:r>
      <w:r>
        <w:t xml:space="preserve">) not in human moral achievement but in responsive obedience to what God has already committed Himself to do: David acts in</w:t>
      </w:r>
      <w:r>
        <w:t xml:space="preserve"> </w:t>
      </w:r>
      <w:r>
        <w:rPr>
          <w:i/>
          <w:iCs/>
        </w:rPr>
        <w:t xml:space="preserve">hesed</w:t>
      </w:r>
      <w:r>
        <w:t xml:space="preserve"> </w:t>
      </w:r>
      <w:r>
        <w:t xml:space="preserve">because</w:t>
      </w:r>
      <w:r>
        <w:t xml:space="preserve"> </w:t>
      </w:r>
      <w:r>
        <w:rPr>
          <w:i/>
          <w:iCs/>
        </w:rPr>
        <w:t xml:space="preserve">hesed</w:t>
      </w:r>
      <w:r>
        <w:t xml:space="preserve"> </w:t>
      </w:r>
      <w:r>
        <w:t xml:space="preserve">has been shown to him, and God vindicates</w:t>
      </w:r>
      <w:r>
        <w:t xml:space="preserve"> </w:t>
      </w:r>
      <w:r>
        <w:rPr>
          <w:i/>
          <w:iCs/>
        </w:rPr>
        <w:t xml:space="preserve">hesed</w:t>
      </w:r>
      <w:r>
        <w:t xml:space="preserve"> </w:t>
      </w:r>
      <w:r>
        <w:t xml:space="preserve">because His own character demands it. The Aramean submission in verse 19 —</w:t>
      </w:r>
      <w:r>
        <w:t xml:space="preserve"> </w:t>
      </w:r>
      <w:r>
        <w:t xml:space="preserve">“the kings who were servants of Hadadezer saw that they had been defeated before Israel”</w:t>
      </w:r>
      <w:r>
        <w:t xml:space="preserve"> </w:t>
      </w:r>
      <w:r>
        <w:t xml:space="preserve">— is not a footnote to military history; it is a display of the advance of God’s kingdom through His anointed, a pattern that finds its ultimate realization in Christ, the Son of David, before whom every knee will bow.</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covenant purposes do not require your circumstances to be favorable, your goodwill to be received, or your enemies to be few. When you act in covenant faithfulness and it is met with contempt — when the odds compound and the coalition forms — you are not in a situation God has lost control of. You are in a situation He is advancing through. Stop waiting for the hostility to clear before you trust Him. The vindication is coming. Act faithfully 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mere military history with no theological freight.</w:t>
      </w:r>
      <w:r>
        <w:t xml:space="preserve"> </w:t>
      </w:r>
      <w:r>
        <w:t xml:space="preserve">The passage is embedded in the Davidic covenant section of 2 Samuel and must be read in that frame. Preaching this as</w:t>
      </w:r>
      <w:r>
        <w:t xml:space="preserve"> </w:t>
      </w:r>
      <w:r>
        <w:t xml:space="preserve">“David wins some battles”</w:t>
      </w:r>
      <w:r>
        <w:t xml:space="preserve"> </w:t>
      </w:r>
      <w:r>
        <w:t xml:space="preserve">misses the theological payload entirely — the battles matter because the kingdom matters, and the kingdom matters because of 2 Samuel 7. Establish the covenant context before entering the military narrative.</w:t>
      </w:r>
    </w:p>
    <w:p>
      <w:pPr>
        <w:numPr>
          <w:ilvl w:val="0"/>
          <w:numId w:val="1002"/>
        </w:numPr>
      </w:pPr>
      <w:r>
        <w:rPr>
          <w:b/>
          <w:bCs/>
        </w:rPr>
        <w:t xml:space="preserve">Moralistic use of Joab’s speech (vv. 11–12) as the primary application point.</w:t>
      </w:r>
      <w:r>
        <w:t xml:space="preserve"> </w:t>
      </w:r>
      <w:r>
        <w:t xml:space="preserve">“Be like Joab — do your part and trust God with the outcome”</w:t>
      </w:r>
      <w:r>
        <w:t xml:space="preserve"> </w:t>
      </w:r>
      <w:r>
        <w:t xml:space="preserve">is not wrong, but it reduces a rich covenantal narrative to a self-help principle about effort and trust. Joab’s speech is a genuine theological moment, but it is not the chapter’s climax. The climax is the Aramean submission and the kingdom’s advance in verses 18–19. Let the structure of the passage, not its most memorable line, drive the application.</w:t>
      </w:r>
    </w:p>
    <w:p>
      <w:pPr>
        <w:numPr>
          <w:ilvl w:val="0"/>
          <w:numId w:val="1002"/>
        </w:numPr>
      </w:pPr>
      <w:r>
        <w:rPr>
          <w:b/>
          <w:bCs/>
        </w:rPr>
        <w:t xml:space="preserve">Psychologizing Hanun’s advisors into the sermon’s villains.</w:t>
      </w:r>
      <w:r>
        <w:t xml:space="preserve"> </w:t>
      </w:r>
      <w:r>
        <w:t xml:space="preserve">There is a temptation to spend excessive time on the advisors’ bad counsel and make the sermon about</w:t>
      </w:r>
      <w:r>
        <w:t xml:space="preserve"> </w:t>
      </w:r>
      <w:r>
        <w:t xml:space="preserve">“listening to the wrong voices”</w:t>
      </w:r>
      <w:r>
        <w:t xml:space="preserve"> </w:t>
      </w:r>
      <w:r>
        <w:t xml:space="preserve">or</w:t>
      </w:r>
      <w:r>
        <w:t xml:space="preserve"> </w:t>
      </w:r>
      <w:r>
        <w:t xml:space="preserve">“surrounding yourself with good advisors.”</w:t>
      </w:r>
      <w:r>
        <w:t xml:space="preserve"> </w:t>
      </w:r>
      <w:r>
        <w:t xml:space="preserve">While the advisors’ cynicism is theologically illuminating (see Application 4 above), the chapter is not fundamentally about advisory councils. Do not let the advisors’ screen time in the exposition exceed their actual role in the narrative’s theological argument.</w:t>
      </w:r>
    </w:p>
    <w:p>
      <w:pPr>
        <w:numPr>
          <w:ilvl w:val="0"/>
          <w:numId w:val="1002"/>
        </w:numPr>
      </w:pPr>
      <w:r>
        <w:rPr>
          <w:b/>
          <w:bCs/>
        </w:rPr>
        <w:t xml:space="preserve">Allegorizing the military details.</w:t>
      </w:r>
      <w:r>
        <w:t xml:space="preserve"> </w:t>
      </w:r>
      <w:r>
        <w:t xml:space="preserve">The two-front flanking scenario, Joab’s force division, and Shobach’s death are not coded references to spiritual warfare tactics or types of spiritual enemies. Treat the military content as historically grounded narrative that carries theological weight through its structural arc — not through allegorical decoding of individual elements.</w:t>
      </w:r>
    </w:p>
    <w:p>
      <w:pPr>
        <w:numPr>
          <w:ilvl w:val="0"/>
          <w:numId w:val="1002"/>
        </w:numPr>
      </w:pPr>
      <w:r>
        <w:rPr>
          <w:b/>
          <w:bCs/>
        </w:rPr>
        <w:t xml:space="preserve">Failing to connect David’s</w:t>
      </w:r>
      <w:r>
        <w:t xml:space="preserve"> </w:t>
      </w:r>
      <w:r>
        <w:rPr>
          <w:b/>
          <w:bCs/>
          <w:i/>
          <w:iCs/>
        </w:rPr>
        <w:t xml:space="preserve">hesed</w:t>
      </w:r>
      <w:r>
        <w:t xml:space="preserve"> </w:t>
      </w:r>
      <w:r>
        <w:rPr>
          <w:b/>
          <w:bCs/>
        </w:rPr>
        <w:t xml:space="preserve">to the character of God.</w:t>
      </w:r>
      <w:r>
        <w:t xml:space="preserve"> </w:t>
      </w:r>
      <w:r>
        <w:t xml:space="preserve">The most common expositional failure in this passage is treating David’s kindness to Hanun as a character study in human virtue —</w:t>
      </w:r>
      <w:r>
        <w:t xml:space="preserve"> </w:t>
      </w:r>
      <w:r>
        <w:t xml:space="preserve">“David was the kind of man who remembered his debts.”</w:t>
      </w:r>
      <w:r>
        <w:t xml:space="preserve"> </w:t>
      </w:r>
      <w:r>
        <w:t xml:space="preserve">The word</w:t>
      </w:r>
      <w:r>
        <w:t xml:space="preserve"> </w:t>
      </w:r>
      <w:r>
        <w:rPr>
          <w:i/>
          <w:iCs/>
        </w:rPr>
        <w:t xml:space="preserve">hesed</w:t>
      </w:r>
      <w:r>
        <w:t xml:space="preserve"> </w:t>
      </w:r>
      <w:r>
        <w:t xml:space="preserve">in the Old Testament is almost always theologically charged: it is the covenantal lovingkindness that characterizes God Himself. David’s</w:t>
      </w:r>
      <w:r>
        <w:t xml:space="preserve"> </w:t>
      </w:r>
      <w:r>
        <w:rPr>
          <w:i/>
          <w:iCs/>
        </w:rPr>
        <w:t xml:space="preserve">hesed</w:t>
      </w:r>
      <w:r>
        <w:t xml:space="preserve"> </w:t>
      </w:r>
      <w:r>
        <w:t xml:space="preserve">to Hanun is a creaturely reflection of the divine</w:t>
      </w:r>
      <w:r>
        <w:t xml:space="preserve"> </w:t>
      </w:r>
      <w:r>
        <w:rPr>
          <w:i/>
          <w:iCs/>
        </w:rPr>
        <w:t xml:space="preserve">hesed</w:t>
      </w:r>
      <w:r>
        <w:t xml:space="preserve"> </w:t>
      </w:r>
      <w:r>
        <w:t xml:space="preserve">that has been shown to David. Miss this, and the passage becomes a moralism about gratitude and loyalty rather than a display of how God’s covenant character shapes His covenant people.</w:t>
      </w:r>
    </w:p>
    <w:p>
      <w:pPr>
        <w:numPr>
          <w:ilvl w:val="0"/>
          <w:numId w:val="1002"/>
        </w:numPr>
      </w:pPr>
      <w:r>
        <w:rPr>
          <w:b/>
          <w:bCs/>
        </w:rPr>
        <w:t xml:space="preserve">Preaching the chapter without the Christological horizon.</w:t>
      </w:r>
      <w:r>
        <w:t xml:space="preserve"> </w:t>
      </w:r>
      <w:r>
        <w:t xml:space="preserve">The pattern of the chapter — covenant love extended, rejected, vindicated — is not completed in David. It runs forward to the Greater David, whose</w:t>
      </w:r>
      <w:r>
        <w:t xml:space="preserve"> </w:t>
      </w:r>
      <w:r>
        <w:rPr>
          <w:i/>
          <w:iCs/>
        </w:rPr>
        <w:t xml:space="preserve">hesed</w:t>
      </w:r>
      <w:r>
        <w:t xml:space="preserve"> </w:t>
      </w:r>
      <w:r>
        <w:t xml:space="preserve">was rejected at the cross and vindicated in resurrection. Without this horizon, the passage can be preached as a triumphalist narrative about Israel winning and the nations losing, rather than as a chapter in the unfolding covenant story that culminates in Christ. This does not require a forced typological leap — the redemptive-historical pattern is structurally present in the text and needs only to be named.</w:t>
      </w:r>
    </w:p>
    <w:p>
      <w:r>
        <w:pict>
          <v:rect style="width:0;height:1.5pt" o:hralign="center" o:hrstd="t" o:hr="t"/>
        </w:pict>
      </w:r>
    </w:p>
    <w:p>
      <w:pPr>
        <w:pStyle w:val="FirstParagraph"/>
      </w:pPr>
      <w:r>
        <w:rPr>
          <w:i/>
          <w:iCs/>
        </w:rPr>
        <w:t xml:space="preserve">Document generated per CLAUDE2.md framework. File: 10 2 Samuel 10.docx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2026-07-14T21:02:47Z</dcterms:created>
  <dcterms:modified xsi:type="dcterms:W3CDTF">2026-07-14T21:02:47Z</dcterms:modified>
</cp:coreProperties>
</file>

<file path=docProps/custom.xml><?xml version="1.0" encoding="utf-8"?>
<Properties xmlns="http://schemas.openxmlformats.org/officeDocument/2006/custom-properties" xmlns:vt="http://schemas.openxmlformats.org/officeDocument/2006/docPropsVTypes"/>
</file>